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EB" w:rsidRDefault="00700A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ПРЕДОСТАВЛЕНИЯ, ИСПОЛЬЗОВАНИЯ И ВОЗВРАТА ПОТРЕБИТЕЛЬСКОГО ЗАЙМА В ООО «ЛОМБАРД ПИОНЕР</w:t>
      </w:r>
      <w:r>
        <w:rPr>
          <w:rFonts w:ascii="Times New Roman" w:hAnsi="Times New Roman"/>
          <w:sz w:val="24"/>
          <w:szCs w:val="24"/>
        </w:rPr>
        <w:t>»</w:t>
      </w:r>
    </w:p>
    <w:p w:rsidR="005861EB" w:rsidRDefault="005861E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61EB" w:rsidRDefault="00700A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Настоящий документ разработан Обществом с ограниченной ответственностью «Ломбард Пионер», (далее - Ломбард) в целях  исполнения</w:t>
      </w:r>
      <w:r>
        <w:rPr>
          <w:rFonts w:ascii="Times New Roman" w:hAnsi="Times New Roman"/>
          <w:sz w:val="24"/>
          <w:szCs w:val="24"/>
        </w:rPr>
        <w:t xml:space="preserve"> требований действующего законодательства РФ, в том числе в соответствии с Федеральным законом Российской Федерации от 21 декабря 2013 г. № 353-ФЗ «О потребительском кредите (займе)», Федеральным законом Российской Федерации от 19 июля 2007 года № 196-ФЗ «</w:t>
      </w:r>
      <w:r>
        <w:rPr>
          <w:rFonts w:ascii="Times New Roman" w:hAnsi="Times New Roman"/>
          <w:sz w:val="24"/>
          <w:szCs w:val="24"/>
        </w:rPr>
        <w:t>О ломбардах», и содержит информацию об условиях предоставления, использования и возврата потребительского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займа. С учётом специфики деятельности ломбарда и ст. 3 ФЗ «О потребительском кредите (займе)»:</w:t>
      </w:r>
    </w:p>
    <w:p w:rsidR="005861EB" w:rsidRDefault="00700A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потребительский заем - денежные средства, предостав</w:t>
      </w:r>
      <w:r>
        <w:rPr>
          <w:rFonts w:ascii="Times New Roman" w:hAnsi="Times New Roman"/>
          <w:sz w:val="24"/>
          <w:szCs w:val="24"/>
        </w:rPr>
        <w:t>ленные кредитором заемщику на основании кредитного договора, договора займа, в том числе с использованием электронных средств платежа, в целях, не связанных с осуществлением предпринимательской деятельности (далее - договор займа), в том числе с лимитом кр</w:t>
      </w:r>
      <w:r>
        <w:rPr>
          <w:rFonts w:ascii="Times New Roman" w:hAnsi="Times New Roman"/>
          <w:sz w:val="24"/>
          <w:szCs w:val="24"/>
        </w:rPr>
        <w:t>едитования;</w:t>
      </w:r>
      <w:proofErr w:type="gramEnd"/>
    </w:p>
    <w:p w:rsidR="005861EB" w:rsidRDefault="00700A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заемщик - физическое лицо, обратившееся к кредитору с намерением получить (получающее или получившее) потребительский заем; </w:t>
      </w:r>
    </w:p>
    <w:p w:rsidR="005861EB" w:rsidRDefault="00700A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кредитор – ломбард, предоставляющий (предоставивший) потребительский заём, являющийся </w:t>
      </w:r>
      <w:proofErr w:type="spellStart"/>
      <w:r>
        <w:rPr>
          <w:rFonts w:ascii="Times New Roman" w:hAnsi="Times New Roman"/>
          <w:sz w:val="24"/>
          <w:szCs w:val="24"/>
        </w:rPr>
        <w:t>некредитной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финансовой орга</w:t>
      </w:r>
      <w:r>
        <w:rPr>
          <w:rFonts w:ascii="Times New Roman" w:hAnsi="Times New Roman"/>
          <w:sz w:val="24"/>
          <w:szCs w:val="24"/>
        </w:rPr>
        <w:t>низацией, а также лицо, получившее право требования к заемщику по договору потребительского займа в порядке уступки, универсального правопреемства или при обращении взыскания на имущество правообладателя;</w:t>
      </w:r>
    </w:p>
    <w:p w:rsidR="005861EB" w:rsidRDefault="00700A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профессиональная деятельность по предоставлению </w:t>
      </w:r>
      <w:r>
        <w:rPr>
          <w:rFonts w:ascii="Times New Roman" w:hAnsi="Times New Roman"/>
          <w:sz w:val="24"/>
          <w:szCs w:val="24"/>
        </w:rPr>
        <w:t>потребительских займов - деятельность ломбарда по предоставлению потребительских займов в денежной форме.</w:t>
      </w:r>
    </w:p>
    <w:p w:rsidR="005861EB" w:rsidRDefault="005861EB">
      <w:pPr>
        <w:spacing w:after="0"/>
        <w:ind w:firstLine="567"/>
        <w:jc w:val="both"/>
        <w:rPr>
          <w:rFonts w:ascii="Times New Roman" w:hAnsi="Times New Roman"/>
        </w:rPr>
      </w:pPr>
    </w:p>
    <w:p w:rsidR="005861EB" w:rsidRDefault="00700AAA">
      <w:pPr>
        <w:spacing w:after="0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предоставления, использования и возврата потребительского займа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279"/>
      </w:tblGrid>
      <w:tr w:rsidR="005861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5861EB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46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Кредитора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«Ломбард Пионер»</w:t>
            </w:r>
          </w:p>
        </w:tc>
      </w:tr>
      <w:tr w:rsidR="005861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5861EB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445030, </w:t>
            </w:r>
            <w:proofErr w:type="gramStart"/>
            <w:r>
              <w:rPr>
                <w:rFonts w:ascii="Times New Roman" w:hAnsi="Times New Roman"/>
              </w:rPr>
              <w:t>Самарская</w:t>
            </w:r>
            <w:proofErr w:type="gramEnd"/>
            <w:r>
              <w:rPr>
                <w:rFonts w:ascii="Times New Roman" w:hAnsi="Times New Roman"/>
              </w:rPr>
              <w:t xml:space="preserve"> обл., г Тольятти, ул. 40 лет Победы, д. 5, пом.3 </w:t>
            </w:r>
          </w:p>
        </w:tc>
      </w:tr>
      <w:tr w:rsidR="005861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5861EB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Официальный сайт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(8482) 94-40-20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tooltip="http://www.lombard" w:history="1">
              <w:r>
                <w:rPr>
                  <w:rStyle w:val="af1"/>
                  <w:rFonts w:ascii="Times New Roman" w:hAnsi="Times New Roman"/>
                </w:rPr>
                <w:t>www.lombard</w:t>
              </w:r>
            </w:hyperlink>
            <w:r>
              <w:rPr>
                <w:rFonts w:ascii="Times New Roman" w:hAnsi="Times New Roman"/>
              </w:rPr>
              <w:t>-pioneer.ru</w:t>
            </w:r>
          </w:p>
        </w:tc>
      </w:tr>
      <w:tr w:rsidR="005861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700AAA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внесении сведений о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Кредиторе</w:t>
            </w:r>
            <w:proofErr w:type="gramEnd"/>
            <w:r>
              <w:rPr>
                <w:rFonts w:ascii="Times New Roman" w:hAnsi="Times New Roman"/>
              </w:rPr>
              <w:t xml:space="preserve"> в го</w:t>
            </w:r>
            <w:r>
              <w:rPr>
                <w:rFonts w:ascii="Times New Roman" w:hAnsi="Times New Roman"/>
              </w:rPr>
              <w:t>сударственный реестр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Ломбардов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EB" w:rsidRDefault="00700AA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 внесения Банком России сведений о юридическом лице в государственный реестр ломбардов: 19.08.2020 г.</w:t>
            </w:r>
          </w:p>
          <w:p w:rsidR="005861EB" w:rsidRDefault="00700A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Статус ломбарда:  внесен в реестр 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к заемщику, которые установлены </w:t>
            </w:r>
            <w:proofErr w:type="gramStart"/>
            <w:r>
              <w:rPr>
                <w:rFonts w:ascii="Times New Roman" w:hAnsi="Times New Roman"/>
              </w:rPr>
              <w:t>кредитором</w:t>
            </w:r>
            <w:proofErr w:type="gramEnd"/>
            <w:r>
              <w:rPr>
                <w:rFonts w:ascii="Times New Roman" w:hAnsi="Times New Roman"/>
              </w:rPr>
              <w:t xml:space="preserve"> и выполнение которых является обязательным для предоставления потребительского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Требования к заёмщику для получения потребительского займа: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дееспособный;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возраст от 18 лет;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документа, удостоверяющего личность гражданина РФ, иностранного гражданина, лица без гражданства;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собственного имущества, предоставляемого в </w:t>
            </w:r>
            <w:proofErr w:type="gramStart"/>
            <w:r>
              <w:rPr>
                <w:rFonts w:ascii="Times New Roman" w:hAnsi="Times New Roman"/>
              </w:rPr>
              <w:t>залог ломбарду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 w:rsidP="00195A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рассмотрения </w:t>
            </w:r>
            <w:r w:rsidR="00195AD6">
              <w:rPr>
                <w:rFonts w:ascii="Times New Roman" w:hAnsi="Times New Roman"/>
              </w:rPr>
              <w:t xml:space="preserve">обращения </w:t>
            </w:r>
            <w:r>
              <w:rPr>
                <w:rFonts w:ascii="Times New Roman" w:hAnsi="Times New Roman"/>
              </w:rPr>
              <w:t xml:space="preserve">о предоставлении потребительского кредита (займа) и принятия кредитором решения </w:t>
            </w:r>
            <w:r w:rsidR="00195AD6">
              <w:rPr>
                <w:rFonts w:ascii="Times New Roman" w:hAnsi="Times New Roman"/>
              </w:rPr>
              <w:t xml:space="preserve">о предоставлении/ </w:t>
            </w:r>
            <w:proofErr w:type="spellStart"/>
            <w:r w:rsidR="00195AD6">
              <w:rPr>
                <w:rFonts w:ascii="Times New Roman" w:hAnsi="Times New Roman"/>
              </w:rPr>
              <w:t>непредоставлении</w:t>
            </w:r>
            <w:proofErr w:type="spellEnd"/>
            <w:r w:rsidR="00195AD6">
              <w:rPr>
                <w:rFonts w:ascii="Times New Roman" w:hAnsi="Times New Roman"/>
              </w:rPr>
              <w:t xml:space="preserve"> займа</w:t>
            </w:r>
            <w:r>
              <w:rPr>
                <w:rFonts w:ascii="Times New Roman" w:hAnsi="Times New Roman"/>
              </w:rPr>
              <w:t xml:space="preserve">, а также перечень документов, необходимых для рассмотрения </w:t>
            </w:r>
            <w:r w:rsidR="00195AD6">
              <w:rPr>
                <w:rFonts w:ascii="Times New Roman" w:hAnsi="Times New Roman"/>
              </w:rPr>
              <w:t>обращения</w:t>
            </w:r>
            <w:proofErr w:type="gramStart"/>
            <w:r w:rsidR="00195A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в том числе для оценки кредитоспособности заемщика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</w:t>
            </w:r>
            <w:r>
              <w:rPr>
                <w:rFonts w:ascii="Times New Roman" w:hAnsi="Times New Roman"/>
              </w:rPr>
              <w:t xml:space="preserve">заемщиком </w:t>
            </w:r>
            <w:r w:rsidR="00195AD6">
              <w:rPr>
                <w:rFonts w:ascii="Times New Roman" w:hAnsi="Times New Roman"/>
              </w:rPr>
              <w:t xml:space="preserve">обращения </w:t>
            </w:r>
            <w:r>
              <w:rPr>
                <w:rFonts w:ascii="Times New Roman" w:hAnsi="Times New Roman"/>
              </w:rPr>
              <w:t xml:space="preserve">о предоставлении потребительского займа и принятие ломбардом решения относительно этого </w:t>
            </w:r>
            <w:r w:rsidR="00195AD6">
              <w:rPr>
                <w:rFonts w:ascii="Times New Roman" w:hAnsi="Times New Roman"/>
              </w:rPr>
              <w:t xml:space="preserve">обращения </w:t>
            </w:r>
            <w:r>
              <w:rPr>
                <w:rFonts w:ascii="Times New Roman" w:hAnsi="Times New Roman"/>
              </w:rPr>
              <w:t xml:space="preserve">происходит в присутствии заемщика в день </w:t>
            </w:r>
            <w:r w:rsidR="00195AD6">
              <w:rPr>
                <w:rFonts w:ascii="Times New Roman" w:hAnsi="Times New Roman"/>
              </w:rPr>
              <w:t>обращения</w:t>
            </w:r>
            <w:r>
              <w:rPr>
                <w:rFonts w:ascii="Times New Roman" w:hAnsi="Times New Roman"/>
              </w:rPr>
              <w:t xml:space="preserve">. Решение о выдачи потребительского займа принимается </w:t>
            </w:r>
            <w:r>
              <w:rPr>
                <w:rFonts w:ascii="Times New Roman" w:hAnsi="Times New Roman"/>
              </w:rPr>
              <w:t>в течение 10-20 минут</w:t>
            </w:r>
            <w:r w:rsidR="00195AD6">
              <w:rPr>
                <w:rFonts w:ascii="Times New Roman" w:hAnsi="Times New Roman"/>
              </w:rPr>
              <w:t xml:space="preserve"> (но не более 1 часа)</w:t>
            </w:r>
            <w:r>
              <w:rPr>
                <w:rFonts w:ascii="Times New Roman" w:hAnsi="Times New Roman"/>
              </w:rPr>
              <w:t>. Ломбард имеет право отказать заемщику в заключени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договора потребительского займа без объяснения причин. Ломба</w:t>
            </w:r>
            <w:proofErr w:type="gramStart"/>
            <w:r>
              <w:rPr>
                <w:rFonts w:ascii="Times New Roman" w:hAnsi="Times New Roman"/>
              </w:rPr>
              <w:t>рд впр</w:t>
            </w:r>
            <w:proofErr w:type="gramEnd"/>
            <w:r>
              <w:rPr>
                <w:rFonts w:ascii="Times New Roman" w:hAnsi="Times New Roman"/>
              </w:rPr>
              <w:t>аве принять решение о выдаче потребительского займа без оформленного заемщиком заявления о предоставлении потребител</w:t>
            </w:r>
            <w:r>
              <w:rPr>
                <w:rFonts w:ascii="Times New Roman" w:hAnsi="Times New Roman"/>
              </w:rPr>
              <w:t xml:space="preserve">ьского займа, в соответствии с информацией, полученной в результате переговоров с заемщиком, с дальнейшим </w:t>
            </w:r>
            <w:r>
              <w:rPr>
                <w:rFonts w:ascii="Times New Roman" w:hAnsi="Times New Roman"/>
              </w:rPr>
              <w:lastRenderedPageBreak/>
              <w:t xml:space="preserve">отражением данной информации в договоре займа (залоговом билете). Перечень документов: - документ, удостоверяющий личность: </w:t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для граждан РФ: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</w:t>
            </w:r>
            <w:r>
              <w:rPr>
                <w:rFonts w:ascii="Times New Roman" w:hAnsi="Times New Roman"/>
              </w:rPr>
              <w:t xml:space="preserve">рт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военный билет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ИНН (при наличии)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для иностранных граждан: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паспорт иностранного гражданина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иные документы, признаваемые документами, удостоверяющими личность иностранного гражданина в соответствии с законодательством РФ </w:t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hAnsi="Times New Roman"/>
              </w:rPr>
              <w:t xml:space="preserve"> для лиц без гражда</w:t>
            </w:r>
            <w:r>
              <w:rPr>
                <w:rFonts w:ascii="Times New Roman" w:hAnsi="Times New Roman"/>
              </w:rPr>
              <w:t xml:space="preserve">нства: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разрешение на временное проживание, вид на жительство </w:t>
            </w:r>
            <w:r>
              <w:rPr>
                <w:rFonts w:ascii="Times New Roman" w:hAnsi="Times New Roman"/>
              </w:rPr>
              <w:br w:type="textWrapping" w:clear="all"/>
            </w:r>
            <w:r>
              <w:rPr>
                <w:rFonts w:ascii="Times New Roman" w:hAnsi="Times New Roman"/>
              </w:rPr>
              <w:t>- иные документы, признаваемые документами, удостоверяющими личность лица без гражданства в соответствии с законодательством РФ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потребительского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Краткосрочный нецелевой</w:t>
            </w:r>
            <w:r>
              <w:rPr>
                <w:rFonts w:ascii="Times New Roman" w:hAnsi="Times New Roman"/>
              </w:rPr>
              <w:t xml:space="preserve"> заем с обеспечением (залог движимого имущества).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Суммы потребительского кредита (займа) и сроки его возврата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займа: Сумма предоставленного ломбардом займа не может превышать сумму оценки заложенной вещи.</w:t>
            </w:r>
            <w:r>
              <w:rPr>
                <w:rFonts w:ascii="Times New Roman" w:hAnsi="Times New Roman"/>
              </w:rPr>
              <w:t xml:space="preserve"> Срок возврата займа согласовывается сторонами в договоре займа, но не может превышать 1 год.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Валюты, в которых предоставляется потребительский кредит (заем)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Российский рубль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предоставления потребительского кредита (займа), в том числе с исполь</w:t>
            </w:r>
            <w:r>
              <w:rPr>
                <w:rFonts w:ascii="Times New Roman" w:hAnsi="Times New Roman"/>
              </w:rPr>
              <w:t>зованием заемщиком электронных сре</w:t>
            </w:r>
            <w:proofErr w:type="gramStart"/>
            <w:r>
              <w:rPr>
                <w:rFonts w:ascii="Times New Roman" w:hAnsi="Times New Roman"/>
              </w:rPr>
              <w:t>дств пл</w:t>
            </w:r>
            <w:proofErr w:type="gramEnd"/>
            <w:r>
              <w:rPr>
                <w:rFonts w:ascii="Times New Roman" w:hAnsi="Times New Roman"/>
              </w:rPr>
              <w:t>атежа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наличной форме в кассе ломбарда по адресам Ломбарда (по месту заключения договора)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Заём может предоставляться в безналичной форме.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Процентные ставки в процентах годовых, а при применении переменных процент</w:t>
            </w:r>
            <w:r>
              <w:rPr>
                <w:rFonts w:ascii="Times New Roman" w:hAnsi="Times New Roman"/>
              </w:rPr>
              <w:t>ных ставок - порядок их определения, соответствующий требованиям ФЗ «О потребительском кредите (займе)»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Диапазон процентной ставки составляет от 0,01 % годовых до 0,34 % . Процентная ставка устанавливается в индивидуальных условиях договора потребительског</w:t>
            </w:r>
            <w:r>
              <w:rPr>
                <w:rFonts w:ascii="Times New Roman" w:hAnsi="Times New Roman"/>
              </w:rPr>
              <w:t>о займа в зависимости от вида залогового обеспечения, суммы займа, срока займа.</w:t>
            </w:r>
            <w:proofErr w:type="gramEnd"/>
            <w:r>
              <w:rPr>
                <w:rFonts w:ascii="Times New Roman" w:hAnsi="Times New Roman"/>
              </w:rPr>
              <w:t xml:space="preserve"> Данную информацию необходимо уточнять в месте получения займа.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Дата, начиная с которой начисляются проценты за пользование потребительским кредитом (займом), или порядок ее определения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 по договору потребительского займа начисляются со дня, следующего за днем предоставления займа ( за исключением случаев погаш</w:t>
            </w:r>
            <w:r>
              <w:rPr>
                <w:rFonts w:ascii="Times New Roman" w:hAnsi="Times New Roman"/>
              </w:rPr>
              <w:t>ения займа в день его выдачи)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суммы иных платежей заемщика по договору потребительского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Диапазоны значений полной стоимости потребительского кредита (займа), определенных с учетом требований настоящего ФЗ «О потреби</w:t>
            </w:r>
            <w:r>
              <w:rPr>
                <w:rFonts w:ascii="Times New Roman" w:hAnsi="Times New Roman"/>
              </w:rPr>
              <w:t>тельском кредите (займе)» по видам потребительского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110,089 % (предельного значения полной стоимости потребительского займа, устанавливаемого ЦБ РФ). 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Периодичность платежей заемщика при возврате потребительского кредита (займа), уплат</w:t>
            </w:r>
            <w:r>
              <w:rPr>
                <w:rFonts w:ascii="Times New Roman" w:hAnsi="Times New Roman"/>
              </w:rPr>
              <w:t>е процентов и иных платежей по кредиту (займу)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зависимости от кредитного тарифа: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ежемесячно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возврат начисленных процентов происходит одновременно в дату возврата займа, </w:t>
            </w:r>
            <w:proofErr w:type="gramStart"/>
            <w:r>
              <w:rPr>
                <w:rFonts w:ascii="Times New Roman" w:hAnsi="Times New Roman"/>
              </w:rPr>
              <w:t>указанной</w:t>
            </w:r>
            <w:proofErr w:type="gramEnd"/>
            <w:r>
              <w:rPr>
                <w:rFonts w:ascii="Times New Roman" w:hAnsi="Times New Roman"/>
              </w:rPr>
              <w:t xml:space="preserve"> в договоре займа.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возврата заемщиком потребительского кредита (займа), </w:t>
            </w:r>
            <w:r>
              <w:rPr>
                <w:rFonts w:ascii="Times New Roman" w:hAnsi="Times New Roman"/>
              </w:rPr>
              <w:lastRenderedPageBreak/>
              <w:t>уплаты процентов по нему, включая бесплатный способ исполнения заемщиком обязательств по договору потребительского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Возврат суммы займа и начисленных процентов осуществляется заемщ</w:t>
            </w:r>
            <w:r>
              <w:rPr>
                <w:rFonts w:ascii="Times New Roman" w:hAnsi="Times New Roman"/>
              </w:rPr>
              <w:t xml:space="preserve">иком путем внесения </w:t>
            </w:r>
            <w:r>
              <w:rPr>
                <w:rFonts w:ascii="Times New Roman" w:hAnsi="Times New Roman"/>
              </w:rPr>
              <w:lastRenderedPageBreak/>
              <w:t>денежных сре</w:t>
            </w:r>
            <w:proofErr w:type="gramStart"/>
            <w:r>
              <w:rPr>
                <w:rFonts w:ascii="Times New Roman" w:hAnsi="Times New Roman"/>
              </w:rPr>
              <w:t>дств в к</w:t>
            </w:r>
            <w:proofErr w:type="gramEnd"/>
            <w:r>
              <w:rPr>
                <w:rFonts w:ascii="Times New Roman" w:hAnsi="Times New Roman"/>
              </w:rPr>
              <w:t xml:space="preserve">ассу ломбарда (по месту заключения договора), либо на расчетный счет Ломбарда. 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Бесплатный способ исполнения заемщиком обязательств по договору займа: внесение денежных средств в кассу ломбарда (по месту заключения д</w:t>
            </w:r>
            <w:r>
              <w:rPr>
                <w:rFonts w:ascii="Times New Roman" w:hAnsi="Times New Roman"/>
              </w:rPr>
              <w:t>оговора</w:t>
            </w:r>
            <w:proofErr w:type="gramEnd"/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Сроки, в течение которых заемщик вправе отказаться от получения потребительского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любое время до момента получения денежных средств и подписания договора займа.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обеспечения исполнения обязательств по договору потребител</w:t>
            </w:r>
            <w:r>
              <w:rPr>
                <w:rFonts w:ascii="Times New Roman" w:hAnsi="Times New Roman"/>
              </w:rPr>
              <w:t>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имущество, принадлежащее Заёмщику на праве собственности, которое в споре или под арестом не состоит, не передано в залог по другому договору и не обременено другими правами третьих лиц, не является предметом исков третьих л</w:t>
            </w:r>
            <w:r>
              <w:rPr>
                <w:rFonts w:ascii="Times New Roman" w:hAnsi="Times New Roman"/>
              </w:rPr>
              <w:t>иц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иных договорах, которые заемщик о</w:t>
            </w:r>
            <w:r>
              <w:rPr>
                <w:rFonts w:ascii="Times New Roman" w:hAnsi="Times New Roman"/>
              </w:rPr>
              <w:t>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Для получения займа наличными денежными средствами заключение дополнительных договоров, кроме договора займа, оформляемого в виде залогового билета по установленной форме (ФЗ «О ломбардах»), договора потребительского займа, состоящего из общих и индивидуа</w:t>
            </w:r>
            <w:r>
              <w:rPr>
                <w:rFonts w:ascii="Times New Roman" w:hAnsi="Times New Roman"/>
              </w:rPr>
              <w:t>льных условий (ФЗ «О потребительском кредите (займе), не требуется.</w:t>
            </w:r>
            <w:proofErr w:type="gramEnd"/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возможном увеличении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суммы расходов Заёмщика по сравнению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ожидаемой суммой расходов в рублях,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при применении переменной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процентной ставки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Заёмщика могу</w:t>
            </w:r>
            <w:r>
              <w:rPr>
                <w:rFonts w:ascii="Times New Roman" w:hAnsi="Times New Roman"/>
              </w:rPr>
              <w:t>т увеличиться в связи с нарушением последним своих обязательств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своевременному возврату займа. 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определении курса иностранной валюты в случае, если валюта, в которой осуществляется перевод денежных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едитором третьему лицу, указа</w:t>
            </w:r>
            <w:r>
              <w:rPr>
                <w:rFonts w:ascii="Times New Roman" w:hAnsi="Times New Roman"/>
              </w:rPr>
              <w:t>нному заемщиком при предоставлении потребительского кредита (займа), может отличаться от валюты потребительского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применимо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возможности запрета уступки кредитором третьим лицам прав (требований) по договору потребительского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Сторонами может быть согласовано условие либо о запрете уступки прав (требований) по договору,</w:t>
            </w:r>
          </w:p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либо о праве осуществить уступку</w:t>
            </w:r>
            <w:r>
              <w:rPr>
                <w:rFonts w:ascii="Times New Roman" w:hAnsi="Times New Roman"/>
              </w:rPr>
              <w:t xml:space="preserve"> прав (требований) по договору.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предоставления заемщиком информации об использовании потребительского кредита (займа) (при включении в договор потребительского кредита (займа) условия об использовании заемщиком полученного потребительского кредит</w:t>
            </w:r>
            <w:r>
              <w:rPr>
                <w:rFonts w:ascii="Times New Roman" w:hAnsi="Times New Roman"/>
              </w:rPr>
              <w:t>а (займа) на определенные цели)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применимо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Подсудность споров по искам кредитора к заемщику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Подсудность споров по искам ломбарда к заемщику определяется в соответствии с действующим гражданско-процессуальным законодательством. По соглашению сторон, в и</w:t>
            </w:r>
            <w:r>
              <w:rPr>
                <w:rFonts w:ascii="Times New Roman" w:hAnsi="Times New Roman"/>
              </w:rPr>
              <w:t xml:space="preserve">ндивидуальных условиях договора потребительского займа может быть определён конкретный суд, к подсудности которого будет относиться спор по иску ломбарда, в пределах субъекта РФ по месту нахождения заёмщика,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>указанному в договоре займа, или по месту получе</w:t>
            </w:r>
            <w:r>
              <w:rPr>
                <w:rFonts w:ascii="Times New Roman" w:hAnsi="Times New Roman"/>
              </w:rPr>
              <w:t>ния заёмщиком оферты (предложения заключить договор займа).</w:t>
            </w:r>
          </w:p>
        </w:tc>
      </w:tr>
      <w:tr w:rsidR="005861EB">
        <w:tc>
          <w:tcPr>
            <w:tcW w:w="675" w:type="dxa"/>
          </w:tcPr>
          <w:p w:rsidR="005861EB" w:rsidRDefault="005861EB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Формуляры или иные стандартные формы, в которых определены общие условия договора потребительского кредита (займа)</w:t>
            </w:r>
          </w:p>
        </w:tc>
        <w:tc>
          <w:tcPr>
            <w:tcW w:w="5279" w:type="dxa"/>
          </w:tcPr>
          <w:p w:rsidR="005861EB" w:rsidRDefault="00700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условия договора займа устанавливаются ломбардом в одностороннем порядке в целях многократного применения.</w:t>
            </w:r>
          </w:p>
        </w:tc>
      </w:tr>
    </w:tbl>
    <w:p w:rsidR="005861EB" w:rsidRDefault="005861EB">
      <w:pPr>
        <w:rPr>
          <w:rFonts w:ascii="Times New Roman" w:hAnsi="Times New Roman"/>
        </w:rPr>
      </w:pPr>
    </w:p>
    <w:p w:rsidR="005861EB" w:rsidRDefault="00700A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Данная информация предназначена в целях раскрытия информации о ломбарде и ломбардной деятельности в соответствии с требованиями действующего </w:t>
      </w:r>
      <w:r>
        <w:rPr>
          <w:rFonts w:ascii="Times New Roman" w:hAnsi="Times New Roman"/>
        </w:rPr>
        <w:t xml:space="preserve">законодательства. </w:t>
      </w:r>
    </w:p>
    <w:p w:rsidR="005861EB" w:rsidRDefault="00700A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Индивидуальные условия договора займа согласовываются заемщиком и ломбардом индивидуально. </w:t>
      </w:r>
    </w:p>
    <w:p w:rsidR="005861EB" w:rsidRDefault="00700A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документ носит информационный характер и не является публичной офертой и/или приглашением делать оферту</w:t>
      </w:r>
    </w:p>
    <w:sectPr w:rsidR="005861E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AA" w:rsidRDefault="00700AAA">
      <w:pPr>
        <w:spacing w:after="0" w:line="240" w:lineRule="auto"/>
      </w:pPr>
      <w:r>
        <w:separator/>
      </w:r>
    </w:p>
  </w:endnote>
  <w:endnote w:type="continuationSeparator" w:id="0">
    <w:p w:rsidR="00700AAA" w:rsidRDefault="007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AA" w:rsidRDefault="00700AAA">
      <w:pPr>
        <w:spacing w:after="0" w:line="240" w:lineRule="auto"/>
      </w:pPr>
      <w:r>
        <w:separator/>
      </w:r>
    </w:p>
  </w:footnote>
  <w:footnote w:type="continuationSeparator" w:id="0">
    <w:p w:rsidR="00700AAA" w:rsidRDefault="007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6C0"/>
    <w:multiLevelType w:val="hybridMultilevel"/>
    <w:tmpl w:val="F15E3B4A"/>
    <w:lvl w:ilvl="0" w:tplc="CDF6E806">
      <w:start w:val="1"/>
      <w:numFmt w:val="decimal"/>
      <w:lvlText w:val="%1."/>
      <w:lvlJc w:val="left"/>
      <w:pPr>
        <w:ind w:left="720" w:hanging="360"/>
      </w:pPr>
    </w:lvl>
    <w:lvl w:ilvl="1" w:tplc="B3E87506">
      <w:start w:val="1"/>
      <w:numFmt w:val="lowerLetter"/>
      <w:lvlText w:val="%2."/>
      <w:lvlJc w:val="left"/>
      <w:pPr>
        <w:ind w:left="1440" w:hanging="360"/>
      </w:pPr>
    </w:lvl>
    <w:lvl w:ilvl="2" w:tplc="0A06D03A">
      <w:start w:val="1"/>
      <w:numFmt w:val="lowerRoman"/>
      <w:lvlText w:val="%3."/>
      <w:lvlJc w:val="right"/>
      <w:pPr>
        <w:ind w:left="2160" w:hanging="180"/>
      </w:pPr>
    </w:lvl>
    <w:lvl w:ilvl="3" w:tplc="C074C00A">
      <w:start w:val="1"/>
      <w:numFmt w:val="decimal"/>
      <w:lvlText w:val="%4."/>
      <w:lvlJc w:val="left"/>
      <w:pPr>
        <w:ind w:left="2880" w:hanging="360"/>
      </w:pPr>
    </w:lvl>
    <w:lvl w:ilvl="4" w:tplc="C792AADE">
      <w:start w:val="1"/>
      <w:numFmt w:val="lowerLetter"/>
      <w:lvlText w:val="%5."/>
      <w:lvlJc w:val="left"/>
      <w:pPr>
        <w:ind w:left="3600" w:hanging="360"/>
      </w:pPr>
    </w:lvl>
    <w:lvl w:ilvl="5" w:tplc="B3B827E0">
      <w:start w:val="1"/>
      <w:numFmt w:val="lowerRoman"/>
      <w:lvlText w:val="%6."/>
      <w:lvlJc w:val="right"/>
      <w:pPr>
        <w:ind w:left="4320" w:hanging="180"/>
      </w:pPr>
    </w:lvl>
    <w:lvl w:ilvl="6" w:tplc="09BCBB86">
      <w:start w:val="1"/>
      <w:numFmt w:val="decimal"/>
      <w:lvlText w:val="%7."/>
      <w:lvlJc w:val="left"/>
      <w:pPr>
        <w:ind w:left="5040" w:hanging="360"/>
      </w:pPr>
    </w:lvl>
    <w:lvl w:ilvl="7" w:tplc="7316A210">
      <w:start w:val="1"/>
      <w:numFmt w:val="lowerLetter"/>
      <w:lvlText w:val="%8."/>
      <w:lvlJc w:val="left"/>
      <w:pPr>
        <w:ind w:left="5760" w:hanging="360"/>
      </w:pPr>
    </w:lvl>
    <w:lvl w:ilvl="8" w:tplc="C74ADCD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25D2"/>
    <w:multiLevelType w:val="hybridMultilevel"/>
    <w:tmpl w:val="39864E34"/>
    <w:lvl w:ilvl="0" w:tplc="81423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szCs w:val="22"/>
      </w:rPr>
    </w:lvl>
    <w:lvl w:ilvl="1" w:tplc="A3DCC1B2">
      <w:start w:val="1"/>
      <w:numFmt w:val="lowerLetter"/>
      <w:lvlText w:val="%2."/>
      <w:lvlJc w:val="left"/>
      <w:pPr>
        <w:ind w:left="1440" w:hanging="360"/>
      </w:pPr>
    </w:lvl>
    <w:lvl w:ilvl="2" w:tplc="728CC32E">
      <w:start w:val="1"/>
      <w:numFmt w:val="lowerRoman"/>
      <w:lvlText w:val="%3."/>
      <w:lvlJc w:val="right"/>
      <w:pPr>
        <w:ind w:left="2160" w:hanging="180"/>
      </w:pPr>
    </w:lvl>
    <w:lvl w:ilvl="3" w:tplc="5276FCD0">
      <w:start w:val="1"/>
      <w:numFmt w:val="decimal"/>
      <w:lvlText w:val="%4."/>
      <w:lvlJc w:val="left"/>
      <w:pPr>
        <w:ind w:left="2880" w:hanging="360"/>
      </w:pPr>
    </w:lvl>
    <w:lvl w:ilvl="4" w:tplc="499E8D16">
      <w:start w:val="1"/>
      <w:numFmt w:val="lowerLetter"/>
      <w:lvlText w:val="%5."/>
      <w:lvlJc w:val="left"/>
      <w:pPr>
        <w:ind w:left="3600" w:hanging="360"/>
      </w:pPr>
    </w:lvl>
    <w:lvl w:ilvl="5" w:tplc="172652B4">
      <w:start w:val="1"/>
      <w:numFmt w:val="lowerRoman"/>
      <w:lvlText w:val="%6."/>
      <w:lvlJc w:val="right"/>
      <w:pPr>
        <w:ind w:left="4320" w:hanging="180"/>
      </w:pPr>
    </w:lvl>
    <w:lvl w:ilvl="6" w:tplc="44A4DA7C">
      <w:start w:val="1"/>
      <w:numFmt w:val="decimal"/>
      <w:lvlText w:val="%7."/>
      <w:lvlJc w:val="left"/>
      <w:pPr>
        <w:ind w:left="5040" w:hanging="360"/>
      </w:pPr>
    </w:lvl>
    <w:lvl w:ilvl="7" w:tplc="4DCAAA36">
      <w:start w:val="1"/>
      <w:numFmt w:val="lowerLetter"/>
      <w:lvlText w:val="%8."/>
      <w:lvlJc w:val="left"/>
      <w:pPr>
        <w:ind w:left="5760" w:hanging="360"/>
      </w:pPr>
    </w:lvl>
    <w:lvl w:ilvl="8" w:tplc="73EA69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F565B"/>
    <w:multiLevelType w:val="hybridMultilevel"/>
    <w:tmpl w:val="454E4824"/>
    <w:lvl w:ilvl="0" w:tplc="11EE5EDA">
      <w:start w:val="1"/>
      <w:numFmt w:val="decimal"/>
      <w:lvlText w:val="%1."/>
      <w:lvlJc w:val="left"/>
      <w:pPr>
        <w:ind w:left="720" w:hanging="360"/>
      </w:pPr>
    </w:lvl>
    <w:lvl w:ilvl="1" w:tplc="5DB4539C">
      <w:start w:val="1"/>
      <w:numFmt w:val="lowerLetter"/>
      <w:lvlText w:val="%2."/>
      <w:lvlJc w:val="left"/>
      <w:pPr>
        <w:ind w:left="1440" w:hanging="360"/>
      </w:pPr>
    </w:lvl>
    <w:lvl w:ilvl="2" w:tplc="184A2EA8">
      <w:start w:val="1"/>
      <w:numFmt w:val="lowerRoman"/>
      <w:lvlText w:val="%3."/>
      <w:lvlJc w:val="right"/>
      <w:pPr>
        <w:ind w:left="2160" w:hanging="180"/>
      </w:pPr>
    </w:lvl>
    <w:lvl w:ilvl="3" w:tplc="72C8EFFC">
      <w:start w:val="1"/>
      <w:numFmt w:val="decimal"/>
      <w:lvlText w:val="%4."/>
      <w:lvlJc w:val="left"/>
      <w:pPr>
        <w:ind w:left="2880" w:hanging="360"/>
      </w:pPr>
    </w:lvl>
    <w:lvl w:ilvl="4" w:tplc="3E2226B6">
      <w:start w:val="1"/>
      <w:numFmt w:val="lowerLetter"/>
      <w:lvlText w:val="%5."/>
      <w:lvlJc w:val="left"/>
      <w:pPr>
        <w:ind w:left="3600" w:hanging="360"/>
      </w:pPr>
    </w:lvl>
    <w:lvl w:ilvl="5" w:tplc="637E3844">
      <w:start w:val="1"/>
      <w:numFmt w:val="lowerRoman"/>
      <w:lvlText w:val="%6."/>
      <w:lvlJc w:val="right"/>
      <w:pPr>
        <w:ind w:left="4320" w:hanging="180"/>
      </w:pPr>
    </w:lvl>
    <w:lvl w:ilvl="6" w:tplc="1BC6D36A">
      <w:start w:val="1"/>
      <w:numFmt w:val="decimal"/>
      <w:lvlText w:val="%7."/>
      <w:lvlJc w:val="left"/>
      <w:pPr>
        <w:ind w:left="5040" w:hanging="360"/>
      </w:pPr>
    </w:lvl>
    <w:lvl w:ilvl="7" w:tplc="28B65BEA">
      <w:start w:val="1"/>
      <w:numFmt w:val="lowerLetter"/>
      <w:lvlText w:val="%8."/>
      <w:lvlJc w:val="left"/>
      <w:pPr>
        <w:ind w:left="5760" w:hanging="360"/>
      </w:pPr>
    </w:lvl>
    <w:lvl w:ilvl="8" w:tplc="78A277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EB"/>
    <w:rsid w:val="00195AD6"/>
    <w:rsid w:val="005861EB"/>
    <w:rsid w:val="0070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bar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pc-ira</dc:creator>
  <cp:lastModifiedBy>pc-ira</cp:lastModifiedBy>
  <cp:revision>2</cp:revision>
  <dcterms:created xsi:type="dcterms:W3CDTF">2023-06-16T12:33:00Z</dcterms:created>
  <dcterms:modified xsi:type="dcterms:W3CDTF">2023-06-16T12:33:00Z</dcterms:modified>
</cp:coreProperties>
</file>